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B891" w14:textId="20C5CC2A" w:rsidR="007005BF" w:rsidRPr="00E03D5F" w:rsidRDefault="00E37DCF" w:rsidP="00E978C2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IŞIKLAR </w:t>
      </w:r>
      <w:r w:rsidR="003A375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ENERJİ VE YAPI </w:t>
      </w: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HOLDİNG </w:t>
      </w:r>
      <w:r w:rsidR="007005BF" w:rsidRPr="00E03D5F">
        <w:rPr>
          <w:rFonts w:asciiTheme="majorHAnsi" w:eastAsia="Times New Roman" w:hAnsiTheme="majorHAnsi" w:cstheme="majorHAnsi"/>
          <w:b/>
          <w:sz w:val="24"/>
          <w:szCs w:val="24"/>
        </w:rPr>
        <w:t>ANONİM ŞİRKETİ</w:t>
      </w:r>
    </w:p>
    <w:p w14:paraId="6B0A98A4" w14:textId="4FC92F69" w:rsidR="0007419D" w:rsidRPr="00E03D5F" w:rsidRDefault="00033075" w:rsidP="00E978C2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KURUMSAL 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İNTERNET SİTESİ </w:t>
      </w:r>
      <w:r w:rsidR="003D4441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AYDINLATMA 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METNİ </w:t>
      </w:r>
    </w:p>
    <w:p w14:paraId="4C035C09" w14:textId="77777777" w:rsidR="00B37C8F" w:rsidRPr="00B37C8F" w:rsidRDefault="00B37C8F" w:rsidP="00B37C8F">
      <w:pPr>
        <w:spacing w:after="0" w:line="276" w:lineRule="auto"/>
        <w:rPr>
          <w:rFonts w:eastAsia="Arial" w:cs="Arial"/>
          <w:i/>
          <w:iCs/>
          <w:sz w:val="18"/>
          <w:szCs w:val="24"/>
        </w:rPr>
      </w:pPr>
      <w:r w:rsidRPr="00B37C8F">
        <w:rPr>
          <w:rFonts w:eastAsia="Arial" w:cs="Arial"/>
          <w:i/>
          <w:iCs/>
          <w:szCs w:val="24"/>
        </w:rPr>
        <w:t xml:space="preserve">Son güncellenme </w:t>
      </w:r>
      <w:proofErr w:type="gramStart"/>
      <w:r w:rsidRPr="00B37C8F">
        <w:rPr>
          <w:rFonts w:eastAsia="Arial" w:cs="Arial"/>
          <w:i/>
          <w:iCs/>
          <w:szCs w:val="24"/>
        </w:rPr>
        <w:t>tarihi : 21</w:t>
      </w:r>
      <w:proofErr w:type="gramEnd"/>
      <w:r w:rsidRPr="00B37C8F">
        <w:rPr>
          <w:rFonts w:eastAsia="Arial" w:cs="Arial"/>
          <w:i/>
          <w:iCs/>
          <w:szCs w:val="24"/>
        </w:rPr>
        <w:t>.07.2020</w:t>
      </w:r>
    </w:p>
    <w:p w14:paraId="1401589B" w14:textId="77777777" w:rsidR="009C14CF" w:rsidRPr="00E03D5F" w:rsidRDefault="009C14CF" w:rsidP="00E03D5F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08EC291" w14:textId="3A714F5D" w:rsidR="0007419D" w:rsidRPr="00E03D5F" w:rsidRDefault="001821DE" w:rsidP="00E978C2">
      <w:pPr>
        <w:tabs>
          <w:tab w:val="left" w:pos="284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E03D5F">
        <w:rPr>
          <w:rFonts w:asciiTheme="majorHAnsi" w:hAnsiTheme="majorHAnsi" w:cstheme="majorHAnsi"/>
          <w:sz w:val="24"/>
          <w:szCs w:val="24"/>
        </w:rPr>
        <w:t xml:space="preserve">Merkezi </w:t>
      </w:r>
      <w:proofErr w:type="spellStart"/>
      <w:r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Beybi</w:t>
      </w:r>
      <w:proofErr w:type="spellEnd"/>
      <w:r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Giz Plaza </w:t>
      </w:r>
      <w:proofErr w:type="spellStart"/>
      <w:r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Dereboyu</w:t>
      </w:r>
      <w:proofErr w:type="spellEnd"/>
      <w:r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Cad. Meydan Sok.No:1 D:27 Maslak Sarıyer İstanbul adresinde</w:t>
      </w:r>
      <w:r w:rsidR="004A5A94"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ve diğer ofisi de </w:t>
      </w:r>
      <w:r w:rsidR="004A5A94" w:rsidRPr="00E03D5F">
        <w:rPr>
          <w:rFonts w:asciiTheme="majorHAnsi" w:hAnsiTheme="majorHAnsi" w:cstheme="majorHAnsi"/>
          <w:sz w:val="24"/>
          <w:szCs w:val="24"/>
        </w:rPr>
        <w:t xml:space="preserve">Orhan Veli Kanık Cad. Yakut Sok. Eryılmaz Plaza No: 3/2 </w:t>
      </w:r>
      <w:proofErr w:type="spellStart"/>
      <w:r w:rsidR="004A5A94" w:rsidRPr="00E03D5F">
        <w:rPr>
          <w:rFonts w:asciiTheme="majorHAnsi" w:hAnsiTheme="majorHAnsi" w:cstheme="majorHAnsi"/>
          <w:sz w:val="24"/>
          <w:szCs w:val="24"/>
        </w:rPr>
        <w:t>Kavacık</w:t>
      </w:r>
      <w:proofErr w:type="spellEnd"/>
      <w:r w:rsidR="004A5A94" w:rsidRPr="00E03D5F">
        <w:rPr>
          <w:rFonts w:asciiTheme="majorHAnsi" w:hAnsiTheme="majorHAnsi" w:cstheme="majorHAnsi"/>
          <w:sz w:val="24"/>
          <w:szCs w:val="24"/>
        </w:rPr>
        <w:t xml:space="preserve">-Beykoz / İstanbul </w:t>
      </w:r>
      <w:r w:rsidR="004A5A94"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4A5A94"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dresinde</w:t>
      </w:r>
      <w:r w:rsidRPr="00E03D5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bulunan </w:t>
      </w:r>
      <w:r w:rsidR="00E37DCF" w:rsidRPr="00E03D5F">
        <w:rPr>
          <w:rFonts w:asciiTheme="majorHAnsi" w:eastAsia="Times New Roman" w:hAnsiTheme="majorHAnsi" w:cstheme="majorHAnsi"/>
          <w:sz w:val="24"/>
          <w:szCs w:val="24"/>
        </w:rPr>
        <w:t>Işıklar</w:t>
      </w:r>
      <w:r w:rsidR="003A3755" w:rsidRPr="00E03D5F">
        <w:rPr>
          <w:rFonts w:asciiTheme="majorHAnsi" w:eastAsia="Times New Roman" w:hAnsiTheme="majorHAnsi" w:cstheme="majorHAnsi"/>
          <w:sz w:val="24"/>
          <w:szCs w:val="24"/>
        </w:rPr>
        <w:t xml:space="preserve"> Enerji ve Yapı</w:t>
      </w:r>
      <w:r w:rsidR="00E37DCF" w:rsidRPr="00E03D5F">
        <w:rPr>
          <w:rFonts w:asciiTheme="majorHAnsi" w:eastAsia="Times New Roman" w:hAnsiTheme="majorHAnsi" w:cstheme="majorHAnsi"/>
          <w:sz w:val="24"/>
          <w:szCs w:val="24"/>
        </w:rPr>
        <w:t xml:space="preserve"> Holding </w:t>
      </w:r>
      <w:r w:rsidR="00D30EC6" w:rsidRPr="00E03D5F">
        <w:rPr>
          <w:rFonts w:asciiTheme="majorHAnsi" w:eastAsia="Times New Roman" w:hAnsiTheme="majorHAnsi" w:cstheme="majorHAnsi"/>
          <w:sz w:val="24"/>
          <w:szCs w:val="24"/>
        </w:rPr>
        <w:t>A</w:t>
      </w:r>
      <w:r w:rsidR="00492D27" w:rsidRPr="00E03D5F">
        <w:rPr>
          <w:rFonts w:asciiTheme="majorHAnsi" w:eastAsia="Times New Roman" w:hAnsiTheme="majorHAnsi" w:cstheme="majorHAnsi"/>
          <w:sz w:val="24"/>
          <w:szCs w:val="24"/>
        </w:rPr>
        <w:t>nonim Şirketi</w:t>
      </w:r>
      <w:r w:rsidR="0065735F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(“Şirket”</w:t>
      </w:r>
      <w:r w:rsidR="005C1257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492D27" w:rsidRPr="00E03D5F">
        <w:rPr>
          <w:rFonts w:asciiTheme="majorHAnsi" w:eastAsia="Times New Roman" w:hAnsiTheme="majorHAnsi" w:cstheme="majorHAnsi"/>
          <w:bCs/>
          <w:sz w:val="24"/>
          <w:szCs w:val="24"/>
        </w:rPr>
        <w:t xml:space="preserve">veya </w:t>
      </w:r>
      <w:r w:rsidR="0065735F" w:rsidRPr="00E03D5F">
        <w:rPr>
          <w:rFonts w:asciiTheme="majorHAnsi" w:eastAsia="Times New Roman" w:hAnsiTheme="majorHAnsi" w:cstheme="majorHAnsi"/>
          <w:b/>
          <w:sz w:val="24"/>
          <w:szCs w:val="24"/>
        </w:rPr>
        <w:t>“</w:t>
      </w:r>
      <w:r w:rsidR="00E37DCF" w:rsidRPr="00E03D5F">
        <w:rPr>
          <w:rFonts w:asciiTheme="majorHAnsi" w:eastAsia="Times New Roman" w:hAnsiTheme="majorHAnsi" w:cstheme="majorHAnsi"/>
          <w:b/>
          <w:sz w:val="24"/>
          <w:szCs w:val="24"/>
        </w:rPr>
        <w:t>Işıklar</w:t>
      </w:r>
      <w:r w:rsidR="003A375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Enerji</w:t>
      </w:r>
      <w:r w:rsidR="00E37DCF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FB0BA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ve Yapı </w:t>
      </w:r>
      <w:r w:rsidR="00E37DCF" w:rsidRPr="00E03D5F">
        <w:rPr>
          <w:rFonts w:asciiTheme="majorHAnsi" w:eastAsia="Times New Roman" w:hAnsiTheme="majorHAnsi" w:cstheme="majorHAnsi"/>
          <w:b/>
          <w:sz w:val="24"/>
          <w:szCs w:val="24"/>
        </w:rPr>
        <w:t>Holding</w:t>
      </w:r>
      <w:r w:rsidR="0065735F" w:rsidRPr="00E03D5F">
        <w:rPr>
          <w:rFonts w:asciiTheme="majorHAnsi" w:eastAsia="Times New Roman" w:hAnsiTheme="majorHAnsi" w:cstheme="majorHAnsi"/>
          <w:b/>
          <w:sz w:val="24"/>
          <w:szCs w:val="24"/>
        </w:rPr>
        <w:t>”)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E12C8" w:rsidRPr="00E03D5F">
        <w:rPr>
          <w:rFonts w:asciiTheme="majorHAnsi" w:eastAsia="Times New Roman" w:hAnsiTheme="majorHAnsi" w:cstheme="majorHAnsi"/>
          <w:sz w:val="24"/>
          <w:szCs w:val="24"/>
        </w:rPr>
        <w:t>resmi internet site</w:t>
      </w:r>
      <w:r w:rsidR="000E2C88" w:rsidRPr="00E03D5F">
        <w:rPr>
          <w:rFonts w:asciiTheme="majorHAnsi" w:eastAsia="Times New Roman" w:hAnsiTheme="majorHAnsi" w:cstheme="majorHAnsi"/>
          <w:sz w:val="24"/>
          <w:szCs w:val="24"/>
        </w:rPr>
        <w:t>si</w:t>
      </w:r>
      <w:r w:rsidR="00FE12C8" w:rsidRPr="00E03D5F">
        <w:rPr>
          <w:rFonts w:asciiTheme="majorHAnsi" w:eastAsia="Times New Roman" w:hAnsiTheme="majorHAnsi" w:cstheme="majorHAnsi"/>
          <w:sz w:val="24"/>
          <w:szCs w:val="24"/>
        </w:rPr>
        <w:t xml:space="preserve"> olan </w:t>
      </w:r>
      <w:hyperlink r:id="rId8" w:history="1">
        <w:r w:rsidR="003A3755" w:rsidRPr="00E03D5F">
          <w:rPr>
            <w:rStyle w:val="Kpr"/>
            <w:rFonts w:asciiTheme="majorHAnsi" w:hAnsiTheme="majorHAnsi" w:cstheme="majorHAnsi"/>
            <w:sz w:val="24"/>
            <w:szCs w:val="24"/>
          </w:rPr>
          <w:t>https://www.isiklarenerjiyapiholding.com.tr/</w:t>
        </w:r>
      </w:hyperlink>
      <w:r w:rsidR="00D30EC6" w:rsidRPr="00E03D5F">
        <w:rPr>
          <w:rFonts w:asciiTheme="majorHAnsi" w:hAnsiTheme="majorHAnsi" w:cstheme="majorHAnsi"/>
          <w:sz w:val="24"/>
          <w:szCs w:val="24"/>
        </w:rPr>
        <w:t xml:space="preserve"> </w:t>
      </w:r>
      <w:hyperlink w:history="1"/>
      <w:r w:rsidR="0024118A" w:rsidRPr="00E03D5F">
        <w:rPr>
          <w:rFonts w:asciiTheme="majorHAnsi" w:eastAsia="Times New Roman" w:hAnsiTheme="majorHAnsi" w:cstheme="majorHAnsi"/>
          <w:sz w:val="24"/>
          <w:szCs w:val="24"/>
        </w:rPr>
        <w:t>a</w:t>
      </w:r>
      <w:r w:rsidR="00FE12C8" w:rsidRPr="00E03D5F">
        <w:rPr>
          <w:rFonts w:asciiTheme="majorHAnsi" w:eastAsia="Times New Roman" w:hAnsiTheme="majorHAnsi" w:cstheme="majorHAnsi"/>
          <w:sz w:val="24"/>
          <w:szCs w:val="24"/>
        </w:rPr>
        <w:t>dres</w:t>
      </w:r>
      <w:r w:rsidR="00F87317" w:rsidRPr="00E03D5F">
        <w:rPr>
          <w:rFonts w:asciiTheme="majorHAnsi" w:eastAsia="Times New Roman" w:hAnsiTheme="majorHAnsi" w:cstheme="majorHAnsi"/>
          <w:sz w:val="24"/>
          <w:szCs w:val="24"/>
        </w:rPr>
        <w:t>ini</w:t>
      </w:r>
      <w:r w:rsidR="00FE12C8" w:rsidRPr="00E03D5F">
        <w:rPr>
          <w:rFonts w:asciiTheme="majorHAnsi" w:eastAsia="Times New Roman" w:hAnsiTheme="majorHAnsi" w:cstheme="majorHAnsi"/>
          <w:sz w:val="24"/>
          <w:szCs w:val="24"/>
        </w:rPr>
        <w:t xml:space="preserve"> ziyaret e</w:t>
      </w:r>
      <w:r w:rsidR="000E2C88" w:rsidRPr="00E03D5F">
        <w:rPr>
          <w:rFonts w:asciiTheme="majorHAnsi" w:eastAsia="Times New Roman" w:hAnsiTheme="majorHAnsi" w:cstheme="majorHAnsi"/>
          <w:sz w:val="24"/>
          <w:szCs w:val="24"/>
        </w:rPr>
        <w:t>den kişilere</w:t>
      </w:r>
      <w:r w:rsidR="00FE12C8" w:rsidRPr="00E03D5F">
        <w:rPr>
          <w:rFonts w:asciiTheme="majorHAnsi" w:eastAsia="Times New Roman" w:hAnsiTheme="majorHAnsi" w:cstheme="majorHAnsi"/>
          <w:sz w:val="24"/>
          <w:szCs w:val="24"/>
        </w:rPr>
        <w:t xml:space="preserve"> ait kişisel verilerin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 xml:space="preserve"> 6698 sayılı Kişisel Verilerin Korunması Kanunu</w:t>
      </w:r>
      <w:r w:rsidR="00B263D8" w:rsidRPr="00E03D5F">
        <w:rPr>
          <w:rFonts w:asciiTheme="majorHAnsi" w:eastAsia="Times New Roman" w:hAnsiTheme="majorHAnsi" w:cstheme="majorHAnsi"/>
          <w:sz w:val="24"/>
          <w:szCs w:val="24"/>
        </w:rPr>
        <w:t xml:space="preserve"> (“</w:t>
      </w:r>
      <w:r w:rsidR="00E46B86" w:rsidRPr="00E03D5F">
        <w:rPr>
          <w:rFonts w:asciiTheme="majorHAnsi" w:eastAsia="Times New Roman" w:hAnsiTheme="majorHAnsi" w:cstheme="majorHAnsi"/>
          <w:b/>
          <w:bCs/>
          <w:sz w:val="24"/>
          <w:szCs w:val="24"/>
        </w:rPr>
        <w:t>KVKK</w:t>
      </w:r>
      <w:r w:rsidR="00B263D8" w:rsidRPr="00E03D5F">
        <w:rPr>
          <w:rFonts w:asciiTheme="majorHAnsi" w:eastAsia="Times New Roman" w:hAnsiTheme="majorHAnsi" w:cstheme="majorHAnsi"/>
          <w:sz w:val="24"/>
          <w:szCs w:val="24"/>
        </w:rPr>
        <w:t>”)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 xml:space="preserve"> ve ikincil düzenlemelerine (“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>KVK mevzuatı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>”) uygun olarak işlenmesi ve korunması için azami hassasiyeti göstermekte</w:t>
      </w:r>
      <w:r w:rsidR="000E2C88" w:rsidRPr="00E03D5F">
        <w:rPr>
          <w:rFonts w:asciiTheme="majorHAnsi" w:eastAsia="Times New Roman" w:hAnsiTheme="majorHAnsi" w:cstheme="majorHAnsi"/>
          <w:sz w:val="24"/>
          <w:szCs w:val="24"/>
        </w:rPr>
        <w:t>dir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proofErr w:type="gramEnd"/>
    </w:p>
    <w:p w14:paraId="7BF5ED6F" w14:textId="1A88335A" w:rsidR="004D0FA4" w:rsidRPr="00E03D5F" w:rsidRDefault="004D0FA4" w:rsidP="004D0FA4">
      <w:pPr>
        <w:pStyle w:val="Normal1"/>
        <w:tabs>
          <w:tab w:val="left" w:pos="284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>İşbu İnternet Sitesi KVK Aydınlatma Metni (“</w:t>
      </w: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t>Aydınlatma Metni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”),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>Işıklar Enerji ve Yapı Holding</w:t>
      </w:r>
      <w:r w:rsidR="000E2C88" w:rsidRPr="00E03D5F">
        <w:rPr>
          <w:rFonts w:asciiTheme="majorHAnsi" w:eastAsia="Times New Roman" w:hAnsiTheme="majorHAnsi" w:cstheme="majorHAnsi"/>
          <w:sz w:val="24"/>
          <w:szCs w:val="24"/>
        </w:rPr>
        <w:t>’in</w:t>
      </w:r>
      <w:r w:rsidR="00812E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>veri sorumlusu sıfatıyla KVK mevzuatından kaynaklanan aydınlatma yükümlülüğü</w:t>
      </w:r>
      <w:r w:rsidR="000E2C88" w:rsidRPr="00E03D5F">
        <w:rPr>
          <w:rFonts w:asciiTheme="majorHAnsi" w:eastAsia="Times New Roman" w:hAnsiTheme="majorHAnsi" w:cstheme="majorHAnsi"/>
          <w:sz w:val="24"/>
          <w:szCs w:val="24"/>
        </w:rPr>
        <w:t>nün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yerine getirilmesi amacıyla hazırlanmıştır. </w:t>
      </w:r>
    </w:p>
    <w:p w14:paraId="3B962200" w14:textId="6824A099" w:rsidR="00093DB6" w:rsidRPr="00E03D5F" w:rsidRDefault="005A6EE3" w:rsidP="00093DB6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t>1.</w:t>
      </w:r>
      <w:r w:rsidR="00093DB6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Kişisel Verilerin İşlenme Amacı, Elde Etme ve İşleme Yöntemi </w:t>
      </w:r>
    </w:p>
    <w:p w14:paraId="12A22075" w14:textId="4A7E146B" w:rsidR="00E202A7" w:rsidRPr="00E03D5F" w:rsidRDefault="004B50B4" w:rsidP="00E202A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>Işıklar Enerji ve Yapı Holding</w:t>
      </w:r>
      <w:r w:rsidR="00FE12C8" w:rsidRPr="00E03D5F">
        <w:rPr>
          <w:rFonts w:asciiTheme="majorHAnsi" w:eastAsia="Times New Roman" w:hAnsiTheme="majorHAnsi" w:cstheme="majorHAnsi"/>
          <w:sz w:val="24"/>
          <w:szCs w:val="24"/>
        </w:rPr>
        <w:t>,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9" w:history="1">
        <w:r w:rsidR="003A3755" w:rsidRPr="00E03D5F">
          <w:rPr>
            <w:rStyle w:val="Kpr"/>
            <w:rFonts w:asciiTheme="majorHAnsi" w:hAnsiTheme="majorHAnsi" w:cstheme="majorHAnsi"/>
            <w:sz w:val="24"/>
            <w:szCs w:val="24"/>
          </w:rPr>
          <w:t>https://www.isiklarenerjiyapiholding.com.tr/</w:t>
        </w:r>
      </w:hyperlink>
      <w:r w:rsidR="00492D27" w:rsidRPr="00E03D5F">
        <w:rPr>
          <w:rFonts w:asciiTheme="majorHAnsi" w:hAnsiTheme="majorHAnsi" w:cstheme="majorHAnsi"/>
          <w:sz w:val="24"/>
          <w:szCs w:val="24"/>
        </w:rPr>
        <w:t xml:space="preserve"> 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>adres</w:t>
      </w:r>
      <w:r w:rsidR="00F87317" w:rsidRPr="00E03D5F">
        <w:rPr>
          <w:rFonts w:asciiTheme="majorHAnsi" w:eastAsia="Times New Roman" w:hAnsiTheme="majorHAnsi" w:cstheme="majorHAnsi"/>
          <w:sz w:val="24"/>
          <w:szCs w:val="24"/>
        </w:rPr>
        <w:t>in</w:t>
      </w:r>
      <w:r w:rsidR="00C332B5" w:rsidRPr="00E03D5F">
        <w:rPr>
          <w:rFonts w:asciiTheme="majorHAnsi" w:eastAsia="Times New Roman" w:hAnsiTheme="majorHAnsi" w:cstheme="majorHAnsi"/>
          <w:sz w:val="24"/>
          <w:szCs w:val="24"/>
        </w:rPr>
        <w:t xml:space="preserve">i </w:t>
      </w:r>
      <w:r w:rsidR="00E202A7" w:rsidRPr="00E03D5F">
        <w:rPr>
          <w:rFonts w:asciiTheme="majorHAnsi" w:eastAsia="Times New Roman" w:hAnsiTheme="majorHAnsi" w:cstheme="majorHAnsi"/>
          <w:sz w:val="24"/>
          <w:szCs w:val="24"/>
        </w:rPr>
        <w:t xml:space="preserve">ziyaret etmenizle birlikte, başta trafik verileriniz olmak üzere aşağıdaki tabloda anılan linkler vasıtasıyla elde edilen ilgili kişisel verilerinizi belirtilen işleme amacı ile bağlantılı, sınırlı ve ölçülü bir şekilde işlemektedir. </w:t>
      </w:r>
    </w:p>
    <w:p w14:paraId="7858ED90" w14:textId="70C3D575" w:rsidR="0007419D" w:rsidRPr="00E03D5F" w:rsidRDefault="0007419D" w:rsidP="00E978C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13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91"/>
        <w:gridCol w:w="4717"/>
        <w:gridCol w:w="3510"/>
        <w:gridCol w:w="2430"/>
      </w:tblGrid>
      <w:tr w:rsidR="00E202A7" w:rsidRPr="00B37C8F" w14:paraId="22018746" w14:textId="499BB268" w:rsidTr="00FC666E">
        <w:trPr>
          <w:jc w:val="center"/>
        </w:trPr>
        <w:tc>
          <w:tcPr>
            <w:tcW w:w="3334" w:type="dxa"/>
          </w:tcPr>
          <w:p w14:paraId="069EAA99" w14:textId="6E5B5C04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Kişisel Veri</w:t>
            </w:r>
          </w:p>
        </w:tc>
        <w:tc>
          <w:tcPr>
            <w:tcW w:w="4629" w:type="dxa"/>
          </w:tcPr>
          <w:p w14:paraId="100357AC" w14:textId="1DFF1043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Şirkete Ulaştığı Ortam</w:t>
            </w:r>
          </w:p>
        </w:tc>
        <w:tc>
          <w:tcPr>
            <w:tcW w:w="3538" w:type="dxa"/>
          </w:tcPr>
          <w:p w14:paraId="6B471BC7" w14:textId="5D708A8B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İşleme Amacı</w:t>
            </w:r>
          </w:p>
        </w:tc>
        <w:tc>
          <w:tcPr>
            <w:tcW w:w="2447" w:type="dxa"/>
          </w:tcPr>
          <w:p w14:paraId="07130F3B" w14:textId="1EA0E9AE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İşlemenin Hukuki Sebebi</w:t>
            </w:r>
          </w:p>
        </w:tc>
      </w:tr>
      <w:tr w:rsidR="00E202A7" w:rsidRPr="00B37C8F" w14:paraId="24C1B527" w14:textId="38064129" w:rsidTr="00FC666E">
        <w:trPr>
          <w:trHeight w:val="800"/>
          <w:jc w:val="center"/>
        </w:trPr>
        <w:tc>
          <w:tcPr>
            <w:tcW w:w="3334" w:type="dxa"/>
            <w:vAlign w:val="center"/>
          </w:tcPr>
          <w:p w14:paraId="6D86A4BC" w14:textId="77777777" w:rsidR="00FC666E" w:rsidRPr="00E03D5F" w:rsidRDefault="00FC666E" w:rsidP="00FC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Ad, e-posta, gönderilen mesaj içeriği</w:t>
            </w:r>
          </w:p>
          <w:p w14:paraId="2FAF4426" w14:textId="3289DA40" w:rsidR="00E202A7" w:rsidRPr="00E03D5F" w:rsidRDefault="00E202A7" w:rsidP="00FC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37EF4DA8" w14:textId="4A83C717" w:rsidR="00E202A7" w:rsidRPr="00E03D5F" w:rsidRDefault="00EE245D" w:rsidP="00FC666E">
            <w:pPr>
              <w:spacing w:line="259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hyperlink r:id="rId10" w:history="1">
              <w:r w:rsidR="00FC666E" w:rsidRPr="00E03D5F">
                <w:rPr>
                  <w:rStyle w:val="Kpr"/>
                  <w:rFonts w:asciiTheme="majorHAnsi" w:hAnsiTheme="majorHAnsi" w:cstheme="majorHAnsi"/>
                  <w:sz w:val="24"/>
                  <w:szCs w:val="24"/>
                </w:rPr>
                <w:t>http://isiklarenerjiyapiholding.com.tr/iletisim-3-2/</w:t>
              </w:r>
            </w:hyperlink>
          </w:p>
        </w:tc>
        <w:tc>
          <w:tcPr>
            <w:tcW w:w="3538" w:type="dxa"/>
          </w:tcPr>
          <w:p w14:paraId="7282F36E" w14:textId="125E2590" w:rsidR="00E202A7" w:rsidRPr="00E03D5F" w:rsidRDefault="00FC666E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Talep, görüş ve önerilerinizin</w:t>
            </w:r>
            <w:r w:rsidR="00E202A7"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Işıklar Enerji </w:t>
            </w: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ve Yapı </w:t>
            </w:r>
            <w:r w:rsidR="00E202A7"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Holding’e ulaştırılması.</w:t>
            </w:r>
          </w:p>
        </w:tc>
        <w:tc>
          <w:tcPr>
            <w:tcW w:w="2447" w:type="dxa"/>
          </w:tcPr>
          <w:p w14:paraId="7706FF9D" w14:textId="1E317BF3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İş sözleşmesinin kurulabilmesi için veri işleme faaliyetinin gerekli olması </w:t>
            </w:r>
          </w:p>
        </w:tc>
      </w:tr>
      <w:tr w:rsidR="00E202A7" w:rsidRPr="00B37C8F" w14:paraId="2B133F74" w14:textId="12617A7A" w:rsidTr="00FC666E">
        <w:trPr>
          <w:jc w:val="center"/>
        </w:trPr>
        <w:tc>
          <w:tcPr>
            <w:tcW w:w="3334" w:type="dxa"/>
          </w:tcPr>
          <w:p w14:paraId="175B3349" w14:textId="77777777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Trafik verisi</w:t>
            </w:r>
          </w:p>
        </w:tc>
        <w:tc>
          <w:tcPr>
            <w:tcW w:w="4629" w:type="dxa"/>
          </w:tcPr>
          <w:p w14:paraId="20CB30EB" w14:textId="3C43555F" w:rsidR="00E202A7" w:rsidRPr="00E03D5F" w:rsidRDefault="00EE245D" w:rsidP="00E202A7">
            <w:pPr>
              <w:spacing w:before="120" w:after="12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hyperlink r:id="rId11" w:history="1">
              <w:r w:rsidR="00E202A7" w:rsidRPr="00E03D5F">
                <w:rPr>
                  <w:rStyle w:val="Kpr"/>
                  <w:rFonts w:asciiTheme="majorHAnsi" w:hAnsiTheme="majorHAnsi" w:cstheme="majorHAnsi"/>
                  <w:sz w:val="24"/>
                  <w:szCs w:val="24"/>
                </w:rPr>
                <w:t>https://www.isiklarenerjiyapiholding.com.tr/</w:t>
              </w:r>
            </w:hyperlink>
          </w:p>
        </w:tc>
        <w:tc>
          <w:tcPr>
            <w:tcW w:w="3538" w:type="dxa"/>
          </w:tcPr>
          <w:p w14:paraId="2E206018" w14:textId="0D3CE22A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5651 sayılı İnternet Ortamında Yapılan Yayınların Düzenlenmesi ve Bu Yayınlar Yoluyla İşlenen Suçlarla Mücadele Edilmesi </w:t>
            </w: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Hakkında Kanun (“</w:t>
            </w:r>
            <w:r w:rsidRPr="00E03D5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5651 sayılı Kanun</w:t>
            </w: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”) ve ikincil düzenlemelerinden doğan yükümlülüklerimizin yerine getirilmesi.</w:t>
            </w:r>
          </w:p>
        </w:tc>
        <w:tc>
          <w:tcPr>
            <w:tcW w:w="2447" w:type="dxa"/>
          </w:tcPr>
          <w:p w14:paraId="71CBEF84" w14:textId="4922CC56" w:rsidR="00E202A7" w:rsidRPr="00E03D5F" w:rsidRDefault="00E202A7" w:rsidP="00E2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İşleme faaliyetinin kanunlarda açıkça ön görülmüş olması ve bununla bağlantılı </w:t>
            </w:r>
            <w:proofErr w:type="gramStart"/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hukuki</w:t>
            </w:r>
            <w:proofErr w:type="gramEnd"/>
            <w:r w:rsidRPr="00E03D5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yükümlüklerin yerine getirilmesi</w:t>
            </w:r>
          </w:p>
        </w:tc>
      </w:tr>
    </w:tbl>
    <w:p w14:paraId="0E6D222E" w14:textId="62AFADDB" w:rsidR="0007419D" w:rsidRPr="00E03D5F" w:rsidRDefault="00696A7D" w:rsidP="00E978C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2</w:t>
      </w:r>
      <w:r w:rsidR="005A6EE3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E10F16" w:rsidRPr="00E03D5F">
        <w:rPr>
          <w:rFonts w:asciiTheme="majorHAnsi" w:eastAsia="Times New Roman" w:hAnsiTheme="majorHAnsi" w:cstheme="majorHAnsi"/>
          <w:b/>
          <w:sz w:val="24"/>
          <w:szCs w:val="24"/>
        </w:rPr>
        <w:t>Kişisel Verilerin Paylaşıldığı Kişiler ve Paylaşım Amacı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23DC82B3" w14:textId="29B2DC0B" w:rsidR="00696A7D" w:rsidRPr="00E03D5F" w:rsidRDefault="00696A7D" w:rsidP="00696A7D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Hlk33173232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Kişisel verilerin paylaşıldığı üçüncü kişiler, Işıklar Enerji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 xml:space="preserve">ve Yapı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Holding ile yaptıkları sözleşme kapsamında, kendileriyle paylaşılan kişisel verileri, KVK mevzuatında aksi öngörülmedikçe paylaşım amacıyla bağlı ve sınırlı olarak işlemek ve korumakla yükümlü olup, bu kişiler Işıklar Enerji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 xml:space="preserve">ve Yapı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>Holding’in denetimindedir.</w:t>
      </w:r>
    </w:p>
    <w:p w14:paraId="5D8ED136" w14:textId="77777777" w:rsidR="00696A7D" w:rsidRPr="00E03D5F" w:rsidRDefault="00696A7D" w:rsidP="00696A7D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İşbu Aydınlatma Metninde sayılan kişisel veriler, yine bu metinde belirtilen amaçların yanı sıra internet sitesinin işletiminin sağlanabilmesi amacıyla dışarıdan </w:t>
      </w:r>
      <w:proofErr w:type="spellStart"/>
      <w:r w:rsidRPr="00E03D5F">
        <w:rPr>
          <w:rFonts w:asciiTheme="majorHAnsi" w:eastAsia="Times New Roman" w:hAnsiTheme="majorHAnsi" w:cstheme="majorHAnsi"/>
          <w:sz w:val="24"/>
          <w:szCs w:val="24"/>
        </w:rPr>
        <w:t>hosting</w:t>
      </w:r>
      <w:proofErr w:type="spellEnd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(barındırma) hizmetleri aldığımız tedarikçilerimizle ve gerekmesi halinde Şirketimizin hukuki sorumluluk ve yükümlülüklerini yerine getirebilmesi amacıyla resmi kurum, kuruluşlar ve yargı makamları ile KVK mevzuatına uygun olarak paylaşılmaktadır. </w:t>
      </w:r>
    </w:p>
    <w:p w14:paraId="4AFCE9B2" w14:textId="77777777" w:rsidR="00696A7D" w:rsidRPr="00E03D5F" w:rsidRDefault="00696A7D" w:rsidP="00696A7D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>Şirketimiz, internet sitesi aracılığı ile topladığı kişisel verileri yurtdışında mukim üçüncü kişilere aktarmamaktadır.</w:t>
      </w:r>
    </w:p>
    <w:bookmarkEnd w:id="1"/>
    <w:p w14:paraId="05E5EB2C" w14:textId="05B1383A" w:rsidR="0007419D" w:rsidRPr="00E03D5F" w:rsidRDefault="00696A7D" w:rsidP="00E978C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t>3</w:t>
      </w:r>
      <w:r w:rsidR="005A6EE3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Kişisel </w:t>
      </w:r>
      <w:r w:rsidR="00B263D8" w:rsidRPr="00E03D5F">
        <w:rPr>
          <w:rFonts w:asciiTheme="majorHAnsi" w:eastAsia="Times New Roman" w:hAnsiTheme="majorHAnsi" w:cstheme="majorHAnsi"/>
          <w:b/>
          <w:sz w:val="24"/>
          <w:szCs w:val="24"/>
        </w:rPr>
        <w:t>V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erilerin </w:t>
      </w:r>
      <w:r w:rsidR="00B263D8" w:rsidRPr="00E03D5F">
        <w:rPr>
          <w:rFonts w:asciiTheme="majorHAnsi" w:eastAsia="Times New Roman" w:hAnsiTheme="majorHAnsi" w:cstheme="majorHAnsi"/>
          <w:b/>
          <w:sz w:val="24"/>
          <w:szCs w:val="24"/>
        </w:rPr>
        <w:t>G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üvenliği, </w:t>
      </w:r>
      <w:r w:rsidR="00B263D8" w:rsidRPr="00E03D5F">
        <w:rPr>
          <w:rFonts w:asciiTheme="majorHAnsi" w:eastAsia="Times New Roman" w:hAnsiTheme="majorHAnsi" w:cstheme="majorHAnsi"/>
          <w:b/>
          <w:sz w:val="24"/>
          <w:szCs w:val="24"/>
        </w:rPr>
        <w:t>M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uhafazası ve </w:t>
      </w:r>
      <w:r w:rsidR="00B263D8" w:rsidRPr="00E03D5F">
        <w:rPr>
          <w:rFonts w:asciiTheme="majorHAnsi" w:eastAsia="Times New Roman" w:hAnsiTheme="majorHAnsi" w:cstheme="majorHAnsi"/>
          <w:b/>
          <w:sz w:val="24"/>
          <w:szCs w:val="24"/>
        </w:rPr>
        <w:t>İ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>mhası</w:t>
      </w:r>
    </w:p>
    <w:p w14:paraId="7C03DA77" w14:textId="394D6C2B" w:rsidR="00696A7D" w:rsidRPr="00E03D5F" w:rsidRDefault="00696A7D" w:rsidP="00696A7D">
      <w:pPr>
        <w:spacing w:before="120" w:after="12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bookmarkStart w:id="2" w:name="_Hlk37353902"/>
      <w:bookmarkStart w:id="3" w:name="_Hlk39751748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Işıklar Enerji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 xml:space="preserve">ve Yapı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Holding, kişisel veri güvenliği ve mahremiyetinin korunması konusunda oldukça yüksek bir farkındalığa sahiptir. Işıklar Enerji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 xml:space="preserve">ve Yapı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Holding, bu doğrultuda </w:t>
      </w:r>
      <w:r w:rsidR="0069232E" w:rsidRPr="00E03D5F">
        <w:rPr>
          <w:rFonts w:asciiTheme="majorHAnsi" w:eastAsia="Times New Roman" w:hAnsiTheme="majorHAnsi" w:cstheme="majorHAnsi"/>
          <w:sz w:val="24"/>
          <w:szCs w:val="24"/>
        </w:rPr>
        <w:t>internet sitesi ziyaretçilerine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ait kişisel verileri başta </w:t>
      </w:r>
      <w:r w:rsidRPr="00E03D5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KVK mevzuatına olmak üzere Işıklar Enerji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 xml:space="preserve">ve Yapı </w:t>
      </w:r>
      <w:r w:rsidRPr="00E03D5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Holding’in KVK Prosedürü ile Kişisel Veri Saklama ve İmha Politikasına uygun şekilde işlemektedir.</w:t>
      </w:r>
    </w:p>
    <w:p w14:paraId="3AE109AE" w14:textId="4DB060AC" w:rsidR="00696A7D" w:rsidRPr="00E03D5F" w:rsidRDefault="00696A7D" w:rsidP="00696A7D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Işıklar Enerji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 xml:space="preserve">ve Yapı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>Holding, İlgili Kişilerin kişisel verilerine yetkisiz kişiler tarafından erişilmesini, kişisel verilerin hatalı işlenmesini, ifşa edilmesini, hukuka uygun olmayan sebeplerle değiştirilmesini/silinmesini önlemek, korunmasını ve güvenliğini sağlamak amacıyla KVK mevzuatı uyarınca gerekli tüm teknik ve idari tedbirleri alır.</w:t>
      </w:r>
    </w:p>
    <w:bookmarkEnd w:id="2"/>
    <w:p w14:paraId="663D3B30" w14:textId="3B80EAF6" w:rsidR="00696A7D" w:rsidRPr="00E03D5F" w:rsidRDefault="00696A7D" w:rsidP="00696A7D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Saklama süresi sona eren verileriniz ise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>Işıklar Enerji ve Yapı Holding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>’in Kişisel Veri Saklama ve İmha Politikası</w:t>
      </w:r>
      <w:r w:rsidRPr="00E03D5F">
        <w:rPr>
          <w:rFonts w:asciiTheme="majorHAnsi" w:hAnsiTheme="majorHAnsi" w:cstheme="majorHAnsi"/>
          <w:sz w:val="24"/>
          <w:szCs w:val="24"/>
        </w:rPr>
        <w:t xml:space="preserve">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doğrultusunda KVK mevzuatına uygun olarak, anılan elektronik ve fiziki ortamlardan silinir, yok edilir veya anonim hale getirilir. </w:t>
      </w:r>
    </w:p>
    <w:p w14:paraId="56149E9E" w14:textId="59EBA50B" w:rsidR="00696A7D" w:rsidRPr="00E03D5F" w:rsidRDefault="004B50B4" w:rsidP="00696A7D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>Işıklar Enerji ve Yapı Holding</w:t>
      </w:r>
      <w:r w:rsidR="00696A7D" w:rsidRPr="00E03D5F">
        <w:rPr>
          <w:rFonts w:asciiTheme="majorHAnsi" w:eastAsia="Times New Roman" w:hAnsiTheme="majorHAnsi" w:cstheme="majorHAnsi"/>
          <w:sz w:val="24"/>
          <w:szCs w:val="24"/>
        </w:rPr>
        <w:t>’in fiziki arşivine ve/veya sunucularına ve/veya diğer sistemlerine yapılan saldırılar sonucunda kişisel verilerinizin zarar görmesi ve/veya üçüncü kişiler tarafından ele geçirilmesi/ifşası durumunda, Şirketimiz sizleri ve KVK Kurulu’nu söz konusu durumdan haberdar olduktan sonra 72 saat içerisinde bilgilendirir.</w:t>
      </w:r>
    </w:p>
    <w:bookmarkEnd w:id="3"/>
    <w:p w14:paraId="619D22D0" w14:textId="77777777" w:rsidR="00B37C8F" w:rsidRDefault="00B37C8F" w:rsidP="00E978C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5C3126B" w14:textId="77777777" w:rsidR="00B37C8F" w:rsidRDefault="00B37C8F" w:rsidP="00E978C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DAE6F3F" w14:textId="08343432" w:rsidR="0007419D" w:rsidRPr="00E03D5F" w:rsidRDefault="00696A7D" w:rsidP="00E978C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>4</w:t>
      </w:r>
      <w:r w:rsidR="005A6EE3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C332B5" w:rsidRPr="00E03D5F">
        <w:rPr>
          <w:rFonts w:asciiTheme="majorHAnsi" w:eastAsia="Times New Roman" w:hAnsiTheme="majorHAnsi" w:cstheme="majorHAnsi"/>
          <w:b/>
          <w:sz w:val="24"/>
          <w:szCs w:val="24"/>
        </w:rPr>
        <w:t>Bilgi Edinme Hakkınız</w:t>
      </w:r>
    </w:p>
    <w:p w14:paraId="3F33B8A2" w14:textId="5A421D62" w:rsidR="006C54C7" w:rsidRPr="00E03D5F" w:rsidRDefault="00E46B86" w:rsidP="006C54C7">
      <w:pPr>
        <w:pStyle w:val="Normal1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4" w:name="_Hlk30934539"/>
      <w:bookmarkStart w:id="5" w:name="_Hlk30934496"/>
      <w:proofErr w:type="spellStart"/>
      <w:proofErr w:type="gramStart"/>
      <w:r w:rsidRPr="00E03D5F">
        <w:rPr>
          <w:rFonts w:asciiTheme="majorHAnsi" w:eastAsia="Times New Roman" w:hAnsiTheme="majorHAnsi" w:cstheme="majorHAnsi"/>
          <w:sz w:val="24"/>
          <w:szCs w:val="24"/>
        </w:rPr>
        <w:t>KVKK’nın</w:t>
      </w:r>
      <w:proofErr w:type="spellEnd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11. maddesi kapsamında, işbu Aydınlatma Metni kapsamında ilgili kişi sıfatını haiz internet sitesi ziyaretçileri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>Işıklar Enerji ve Yapı Holding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’e başvurarak kişisel verilerinin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(i)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işlenip işlenmediğini öğrenme;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(ii)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işlenmişse buna ilişkin bilgi talep etme;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(iii)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işlenme amacını ve amacına uygun kullanılıp kullanılmadığını öğrenme;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(iv)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yurt içinde veya yurt dışında aktarıldığı 3. kişileri bilme;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(v)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eksik veya yanlış işlenmişse düzeltilmesini isteme;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(vi)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E03D5F">
        <w:rPr>
          <w:rFonts w:asciiTheme="majorHAnsi" w:eastAsia="Times New Roman" w:hAnsiTheme="majorHAnsi" w:cstheme="majorHAnsi"/>
          <w:sz w:val="24"/>
          <w:szCs w:val="24"/>
        </w:rPr>
        <w:t>KVKK’nın</w:t>
      </w:r>
      <w:proofErr w:type="spellEnd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7. maddesinde öngörülen şartlar çerçevesinde silinmesini veya yok edilmesini isteme;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(vii)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kişisel verilerinin </w:t>
      </w:r>
      <w:proofErr w:type="spellStart"/>
      <w:r w:rsidRPr="00E03D5F">
        <w:rPr>
          <w:rFonts w:asciiTheme="majorHAnsi" w:eastAsia="Times New Roman" w:hAnsiTheme="majorHAnsi" w:cstheme="majorHAnsi"/>
          <w:sz w:val="24"/>
          <w:szCs w:val="24"/>
        </w:rPr>
        <w:t>KVKK’nın</w:t>
      </w:r>
      <w:proofErr w:type="spellEnd"/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7. maddesi kapsamında silinmesi, yok edilmesi ve eksik veya yanlış işlenmiş kişisel verilerinin düzeltilmesi taleplerinin, kişisel verilerin aktarıldığı üçüncü kişilere bildirilmesini isteme;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(viii)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münhasıran otomatik sistemler ile analiz edilmesi nedeniyle aleyhe bir sonucun ortaya çıkmasına itiraz etme; </w:t>
      </w:r>
      <w:r w:rsidR="006C54C7" w:rsidRPr="00E03D5F">
        <w:rPr>
          <w:rFonts w:asciiTheme="majorHAnsi" w:eastAsia="Times New Roman" w:hAnsiTheme="majorHAnsi" w:cstheme="majorHAnsi"/>
          <w:b/>
          <w:sz w:val="24"/>
          <w:szCs w:val="24"/>
        </w:rPr>
        <w:t>(ix)</w:t>
      </w:r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kanuna aykırı olarak işlenmesi sebebiyle zarara uğraması hâlinde zararın giderilmesini talep etme haklarına sahiptir.</w:t>
      </w:r>
      <w:bookmarkEnd w:id="4"/>
      <w:r w:rsidR="006C54C7" w:rsidRPr="00E03D5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gramEnd"/>
    </w:p>
    <w:p w14:paraId="302F336A" w14:textId="2D3FA7A5" w:rsidR="00696A7D" w:rsidRPr="00E03D5F" w:rsidRDefault="00696A7D" w:rsidP="00696A7D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6" w:name="_Hlk30934624"/>
      <w:bookmarkEnd w:id="5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KVK Kanunu </w:t>
      </w:r>
      <w:r w:rsidRPr="00E03D5F">
        <w:rPr>
          <w:rFonts w:asciiTheme="majorHAnsi" w:hAnsiTheme="majorHAnsi" w:cstheme="majorHAnsi"/>
          <w:sz w:val="24"/>
          <w:szCs w:val="24"/>
        </w:rPr>
        <w:t xml:space="preserve">kapsamında, kişisel verilerinizle ilgili başvuruda bulunmak istemeniz halinde, başvurularınızı </w:t>
      </w:r>
      <w:hyperlink r:id="rId12" w:history="1">
        <w:r w:rsidRPr="00E03D5F">
          <w:rPr>
            <w:rStyle w:val="Kpr"/>
            <w:rFonts w:asciiTheme="majorHAnsi" w:hAnsiTheme="majorHAnsi" w:cstheme="majorHAnsi"/>
            <w:sz w:val="24"/>
            <w:szCs w:val="24"/>
          </w:rPr>
          <w:t>http://isiklarenerjiyapiholding.com.tr/</w:t>
        </w:r>
      </w:hyperlink>
      <w:r w:rsidRPr="00E03D5F">
        <w:rPr>
          <w:rFonts w:asciiTheme="majorHAnsi" w:hAnsiTheme="majorHAnsi" w:cstheme="majorHAnsi"/>
          <w:sz w:val="24"/>
          <w:szCs w:val="24"/>
        </w:rPr>
        <w:t xml:space="preserve">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>lin</w:t>
      </w:r>
      <w:r w:rsidRPr="00E03D5F">
        <w:rPr>
          <w:rFonts w:asciiTheme="majorHAnsi" w:hAnsiTheme="majorHAnsi" w:cstheme="majorHAnsi"/>
          <w:sz w:val="24"/>
          <w:szCs w:val="24"/>
        </w:rPr>
        <w:t xml:space="preserve">kindeki </w:t>
      </w:r>
      <w:hyperlink r:id="rId13" w:history="1">
        <w:r w:rsidRPr="00E03D5F">
          <w:rPr>
            <w:rStyle w:val="Kpr"/>
            <w:rFonts w:asciiTheme="majorHAnsi" w:hAnsiTheme="majorHAnsi" w:cstheme="majorHAnsi"/>
          </w:rPr>
          <w:t>KVK</w:t>
        </w:r>
        <w:r w:rsidR="0069232E" w:rsidRPr="00E03D5F">
          <w:rPr>
            <w:rStyle w:val="Kpr"/>
            <w:rFonts w:asciiTheme="majorHAnsi" w:hAnsiTheme="majorHAnsi" w:cstheme="majorHAnsi"/>
          </w:rPr>
          <w:t xml:space="preserve"> İlgili Kişi</w:t>
        </w:r>
        <w:r w:rsidRPr="00E03D5F">
          <w:rPr>
            <w:rStyle w:val="Kpr"/>
            <w:rFonts w:asciiTheme="majorHAnsi" w:hAnsiTheme="majorHAnsi" w:cstheme="majorHAnsi"/>
          </w:rPr>
          <w:t xml:space="preserve"> Bilgi Talep Etme formu</w:t>
        </w:r>
      </w:hyperlink>
      <w:r w:rsidRPr="00E03D5F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E03D5F">
        <w:rPr>
          <w:rFonts w:asciiTheme="majorHAnsi" w:hAnsiTheme="majorHAnsi" w:cstheme="majorHAnsi"/>
          <w:sz w:val="24"/>
          <w:szCs w:val="24"/>
        </w:rPr>
        <w:t>ile,</w:t>
      </w:r>
      <w:proofErr w:type="gramEnd"/>
    </w:p>
    <w:p w14:paraId="1DD43A6F" w14:textId="77777777" w:rsidR="00696A7D" w:rsidRPr="00E03D5F" w:rsidRDefault="00696A7D" w:rsidP="00696A7D">
      <w:pPr>
        <w:pStyle w:val="Liste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03D5F">
        <w:rPr>
          <w:rFonts w:asciiTheme="majorHAnsi" w:eastAsia="Times New Roman" w:hAnsiTheme="majorHAnsi" w:cstheme="majorHAnsi"/>
          <w:sz w:val="24"/>
          <w:szCs w:val="24"/>
        </w:rPr>
        <w:t>Beybi</w:t>
      </w:r>
      <w:proofErr w:type="spellEnd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Giz Plaza </w:t>
      </w:r>
      <w:proofErr w:type="spellStart"/>
      <w:r w:rsidRPr="00E03D5F">
        <w:rPr>
          <w:rFonts w:asciiTheme="majorHAnsi" w:eastAsia="Times New Roman" w:hAnsiTheme="majorHAnsi" w:cstheme="majorHAnsi"/>
          <w:sz w:val="24"/>
          <w:szCs w:val="24"/>
        </w:rPr>
        <w:t>Dereboyu</w:t>
      </w:r>
      <w:proofErr w:type="spellEnd"/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Cad. Meydan Sk.No.1 D.27 Maslak Sarıyer İstanbul adresine, </w:t>
      </w:r>
      <w:r w:rsidRPr="00E03D5F">
        <w:rPr>
          <w:rFonts w:asciiTheme="majorHAnsi" w:hAnsiTheme="majorHAnsi" w:cstheme="majorHAnsi"/>
          <w:sz w:val="24"/>
          <w:szCs w:val="24"/>
        </w:rPr>
        <w:t xml:space="preserve">kimlik teyidinizin yapılması sağlanarak </w:t>
      </w:r>
      <w:proofErr w:type="gramStart"/>
      <w:r w:rsidRPr="00E03D5F">
        <w:rPr>
          <w:rFonts w:asciiTheme="majorHAnsi" w:hAnsiTheme="majorHAnsi" w:cstheme="majorHAnsi"/>
          <w:sz w:val="24"/>
          <w:szCs w:val="24"/>
        </w:rPr>
        <w:t>bizzat;</w:t>
      </w:r>
      <w:proofErr w:type="gramEnd"/>
      <w:r w:rsidRPr="00E03D5F">
        <w:rPr>
          <w:rFonts w:asciiTheme="majorHAnsi" w:hAnsiTheme="majorHAnsi" w:cstheme="majorHAnsi"/>
          <w:sz w:val="24"/>
          <w:szCs w:val="24"/>
        </w:rPr>
        <w:t xml:space="preserve"> veya</w:t>
      </w:r>
    </w:p>
    <w:p w14:paraId="1366D7C7" w14:textId="32B643C9" w:rsidR="006C54C7" w:rsidRPr="00E03D5F" w:rsidRDefault="00696A7D" w:rsidP="00DE167B">
      <w:pPr>
        <w:pStyle w:val="Liste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E03D5F">
        <w:rPr>
          <w:rFonts w:asciiTheme="majorHAnsi" w:hAnsiTheme="majorHAnsi" w:cstheme="majorHAnsi"/>
          <w:sz w:val="24"/>
          <w:szCs w:val="24"/>
        </w:rPr>
        <w:t>kayıtlı</w:t>
      </w:r>
      <w:proofErr w:type="gramEnd"/>
      <w:r w:rsidRPr="00E03D5F">
        <w:rPr>
          <w:rFonts w:asciiTheme="majorHAnsi" w:hAnsiTheme="majorHAnsi" w:cstheme="majorHAnsi"/>
          <w:sz w:val="24"/>
          <w:szCs w:val="24"/>
        </w:rPr>
        <w:t xml:space="preserve"> elektronik posta (KEP) adresi, güvenli elektronik imza, mobil imza yoluyla ya da ilgili kişi tarafından Şirketimiz’ e daha önce bildirilen Şirketimiz’ in sisteminde kayıtlı bulunan e-posta adresini kullanmak suretiyle Şirketimizin </w:t>
      </w:r>
      <w:hyperlink r:id="rId14" w:history="1">
        <w:r w:rsidR="0069232E" w:rsidRPr="00E03D5F">
          <w:rPr>
            <w:rStyle w:val="Kpr"/>
            <w:rFonts w:asciiTheme="majorHAnsi" w:hAnsiTheme="majorHAnsi" w:cstheme="majorHAnsi"/>
            <w:sz w:val="24"/>
            <w:szCs w:val="24"/>
          </w:rPr>
          <w:t>kvkk@isiklerenerjiyapiholding.com.tr</w:t>
        </w:r>
      </w:hyperlink>
      <w:r w:rsidRPr="00E03D5F">
        <w:rPr>
          <w:rFonts w:asciiTheme="majorHAnsi" w:hAnsiTheme="majorHAnsi" w:cstheme="majorHAnsi"/>
          <w:sz w:val="24"/>
          <w:szCs w:val="24"/>
        </w:rPr>
        <w:t xml:space="preserve"> adresine iletebilirsiniz.</w:t>
      </w:r>
    </w:p>
    <w:bookmarkEnd w:id="6"/>
    <w:p w14:paraId="52743B86" w14:textId="63FF33A6" w:rsidR="00E202A7" w:rsidRPr="00E03D5F" w:rsidRDefault="004B50B4" w:rsidP="00E202A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>Işıklar Enerji ve Yapı Holding</w:t>
      </w:r>
      <w:r w:rsidR="00E202A7" w:rsidRPr="00E03D5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E202A7" w:rsidRPr="00E03D5F">
        <w:rPr>
          <w:rFonts w:asciiTheme="majorHAnsi" w:eastAsia="Times New Roman" w:hAnsiTheme="majorHAnsi" w:cstheme="majorHAnsi"/>
          <w:sz w:val="24"/>
          <w:szCs w:val="24"/>
        </w:rPr>
        <w:t>KVKK’nın</w:t>
      </w:r>
      <w:proofErr w:type="spellEnd"/>
      <w:r w:rsidR="00E202A7" w:rsidRPr="00E03D5F">
        <w:rPr>
          <w:rFonts w:asciiTheme="majorHAnsi" w:eastAsia="Times New Roman" w:hAnsiTheme="majorHAnsi" w:cstheme="majorHAnsi"/>
          <w:sz w:val="24"/>
          <w:szCs w:val="24"/>
        </w:rPr>
        <w:t xml:space="preserve"> 13. maddesine uygun olarak, başvuru taleplerini, talebin niteliğine göre ve en geç 30 (otuz) gün içinde sonuçlandıracaktır. İşlemin maliyet gerektirmesi halinde, KVK Kurulu tarafından belirlenen tarife uygulanacaktır. Talebin reddedilmesi halinde, </w:t>
      </w:r>
      <w:proofErr w:type="spellStart"/>
      <w:r w:rsidR="00E202A7" w:rsidRPr="00E03D5F">
        <w:rPr>
          <w:rFonts w:asciiTheme="majorHAnsi" w:eastAsia="Times New Roman" w:hAnsiTheme="majorHAnsi" w:cstheme="majorHAnsi"/>
          <w:sz w:val="24"/>
          <w:szCs w:val="24"/>
        </w:rPr>
        <w:t>red</w:t>
      </w:r>
      <w:proofErr w:type="spellEnd"/>
      <w:r w:rsidR="00E202A7" w:rsidRPr="00E03D5F">
        <w:rPr>
          <w:rFonts w:asciiTheme="majorHAnsi" w:eastAsia="Times New Roman" w:hAnsiTheme="majorHAnsi" w:cstheme="majorHAnsi"/>
          <w:sz w:val="24"/>
          <w:szCs w:val="24"/>
        </w:rPr>
        <w:t xml:space="preserve"> nedeni/nedenleri yazılı olarak veya elektronik ortamda gerekçelendirilecektir. </w:t>
      </w:r>
    </w:p>
    <w:p w14:paraId="501C5AF8" w14:textId="45E0FF3D" w:rsidR="00E202A7" w:rsidRPr="00E03D5F" w:rsidRDefault="00E202A7" w:rsidP="00E202A7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sz w:val="24"/>
          <w:szCs w:val="24"/>
        </w:rPr>
        <w:t>İşbu Aydınlatma Metni, Şirketin değişen süreçleri dolayısıyla KVK mevzuatına uyum sağlamak amacıyla güncellenebilecektir. Söz konusu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güncellemeler için </w:t>
      </w:r>
      <w:r w:rsidR="004B50B4" w:rsidRPr="00E03D5F">
        <w:rPr>
          <w:rFonts w:asciiTheme="majorHAnsi" w:eastAsia="Times New Roman" w:hAnsiTheme="majorHAnsi" w:cstheme="majorHAnsi"/>
          <w:sz w:val="24"/>
          <w:szCs w:val="24"/>
        </w:rPr>
        <w:t>Işıklar Enerji ve Yapı Holding</w:t>
      </w:r>
      <w:r w:rsidRPr="00E03D5F">
        <w:rPr>
          <w:rFonts w:asciiTheme="majorHAnsi" w:eastAsia="Times New Roman" w:hAnsiTheme="majorHAnsi" w:cstheme="majorHAnsi"/>
          <w:sz w:val="24"/>
          <w:szCs w:val="24"/>
        </w:rPr>
        <w:t xml:space="preserve"> internet sitesini ziyaret etmenizi rica ederiz.</w:t>
      </w:r>
    </w:p>
    <w:p w14:paraId="41168CDA" w14:textId="77777777" w:rsidR="004B4286" w:rsidRPr="00E03D5F" w:rsidRDefault="004B4286" w:rsidP="00E978C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FD51B44" w14:textId="549374B5" w:rsidR="0007419D" w:rsidRPr="00E03D5F" w:rsidRDefault="00E37DCF" w:rsidP="004B4286">
      <w:pPr>
        <w:spacing w:before="120" w:after="12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Işıklar </w:t>
      </w:r>
      <w:r w:rsidR="003A3755" w:rsidRPr="00E03D5F">
        <w:rPr>
          <w:rFonts w:asciiTheme="majorHAnsi" w:eastAsia="Times New Roman" w:hAnsiTheme="majorHAnsi" w:cstheme="majorHAnsi"/>
          <w:b/>
          <w:sz w:val="24"/>
          <w:szCs w:val="24"/>
        </w:rPr>
        <w:t>Enerji</w:t>
      </w:r>
      <w:r w:rsidR="00696A7D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ve Yapı</w:t>
      </w:r>
      <w:r w:rsidR="003A3755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Holding</w:t>
      </w:r>
      <w:r w:rsidR="00A15C6F" w:rsidRPr="00E03D5F">
        <w:rPr>
          <w:rFonts w:asciiTheme="majorHAnsi" w:eastAsia="Times New Roman" w:hAnsiTheme="majorHAnsi" w:cstheme="majorHAnsi"/>
          <w:b/>
          <w:sz w:val="24"/>
          <w:szCs w:val="24"/>
        </w:rPr>
        <w:t xml:space="preserve"> Anonim Şirketi</w:t>
      </w:r>
    </w:p>
    <w:p w14:paraId="3D460B80" w14:textId="56F81F69" w:rsidR="004B4286" w:rsidRPr="00E03D5F" w:rsidRDefault="004B4286" w:rsidP="00A15C6F">
      <w:pPr>
        <w:spacing w:before="120" w:after="120"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sectPr w:rsidR="004B4286" w:rsidRPr="00E03D5F" w:rsidSect="00E202A7">
      <w:headerReference w:type="default" r:id="rId15"/>
      <w:footerReference w:type="default" r:id="rId16"/>
      <w:pgSz w:w="16838" w:h="11906" w:orient="landscape"/>
      <w:pgMar w:top="1080" w:right="1440" w:bottom="1080" w:left="1440" w:header="708" w:footer="708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976A" w16cex:dateUtc="2020-05-29T11:15:00Z"/>
  <w16cex:commentExtensible w16cex:durableId="2267E43B" w16cex:dateUtc="2020-05-14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A865D1" w16cid:durableId="227B976A"/>
  <w16cid:commentId w16cid:paraId="30E1E9C4" w16cid:durableId="2267E4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97BD" w14:textId="77777777" w:rsidR="00326D9C" w:rsidRDefault="00326D9C">
      <w:pPr>
        <w:spacing w:after="0" w:line="240" w:lineRule="auto"/>
      </w:pPr>
      <w:r>
        <w:separator/>
      </w:r>
    </w:p>
  </w:endnote>
  <w:endnote w:type="continuationSeparator" w:id="0">
    <w:p w14:paraId="74CE8C17" w14:textId="77777777" w:rsidR="00326D9C" w:rsidRDefault="0032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56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19B03" w14:textId="2E172979" w:rsidR="00D94CA0" w:rsidRDefault="00D94CA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EB923A" w14:textId="3184C90C" w:rsidR="00687C8C" w:rsidRDefault="00687C8C" w:rsidP="00EF7D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F49A" w14:textId="77777777" w:rsidR="00326D9C" w:rsidRDefault="00326D9C">
      <w:pPr>
        <w:spacing w:after="0" w:line="240" w:lineRule="auto"/>
      </w:pPr>
      <w:r>
        <w:separator/>
      </w:r>
    </w:p>
  </w:footnote>
  <w:footnote w:type="continuationSeparator" w:id="0">
    <w:p w14:paraId="7D3BA0CB" w14:textId="77777777" w:rsidR="00326D9C" w:rsidRDefault="0032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635E" w14:textId="77777777" w:rsidR="00687C8C" w:rsidRDefault="00687C8C" w:rsidP="0065735F">
    <w:pPr>
      <w:tabs>
        <w:tab w:val="center" w:pos="4536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321"/>
    <w:multiLevelType w:val="hybridMultilevel"/>
    <w:tmpl w:val="44003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456"/>
    <w:multiLevelType w:val="hybridMultilevel"/>
    <w:tmpl w:val="B20E4AAC"/>
    <w:lvl w:ilvl="0" w:tplc="8A2401A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4A1048B"/>
    <w:multiLevelType w:val="multilevel"/>
    <w:tmpl w:val="ECF6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75096"/>
    <w:multiLevelType w:val="multilevel"/>
    <w:tmpl w:val="50ECC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9D"/>
    <w:rsid w:val="00005C9F"/>
    <w:rsid w:val="00026072"/>
    <w:rsid w:val="00033075"/>
    <w:rsid w:val="0003659B"/>
    <w:rsid w:val="0007419D"/>
    <w:rsid w:val="00093DB6"/>
    <w:rsid w:val="00095137"/>
    <w:rsid w:val="000A3960"/>
    <w:rsid w:val="000B6FB5"/>
    <w:rsid w:val="000D02E5"/>
    <w:rsid w:val="000D12B2"/>
    <w:rsid w:val="000D1F9E"/>
    <w:rsid w:val="000E2C88"/>
    <w:rsid w:val="000F62EE"/>
    <w:rsid w:val="001069C7"/>
    <w:rsid w:val="001159F8"/>
    <w:rsid w:val="00116363"/>
    <w:rsid w:val="0015300F"/>
    <w:rsid w:val="001725CF"/>
    <w:rsid w:val="001821DE"/>
    <w:rsid w:val="0018628E"/>
    <w:rsid w:val="001A6E80"/>
    <w:rsid w:val="001C56A8"/>
    <w:rsid w:val="001E30D1"/>
    <w:rsid w:val="001F7265"/>
    <w:rsid w:val="002257C1"/>
    <w:rsid w:val="0024118A"/>
    <w:rsid w:val="002531B5"/>
    <w:rsid w:val="00260C52"/>
    <w:rsid w:val="002A101B"/>
    <w:rsid w:val="002D570D"/>
    <w:rsid w:val="003025D4"/>
    <w:rsid w:val="00313297"/>
    <w:rsid w:val="00326D9C"/>
    <w:rsid w:val="0033175B"/>
    <w:rsid w:val="00336D9F"/>
    <w:rsid w:val="0037329A"/>
    <w:rsid w:val="00375BE5"/>
    <w:rsid w:val="00394592"/>
    <w:rsid w:val="00397E35"/>
    <w:rsid w:val="003A3755"/>
    <w:rsid w:val="003C3DCC"/>
    <w:rsid w:val="003D0261"/>
    <w:rsid w:val="003D4441"/>
    <w:rsid w:val="003D5940"/>
    <w:rsid w:val="003D7D49"/>
    <w:rsid w:val="003E0906"/>
    <w:rsid w:val="00444B39"/>
    <w:rsid w:val="004630F8"/>
    <w:rsid w:val="00470898"/>
    <w:rsid w:val="00477962"/>
    <w:rsid w:val="00486EEC"/>
    <w:rsid w:val="00492D27"/>
    <w:rsid w:val="004A4B52"/>
    <w:rsid w:val="004A5A94"/>
    <w:rsid w:val="004B4286"/>
    <w:rsid w:val="004B50B4"/>
    <w:rsid w:val="004D0FA4"/>
    <w:rsid w:val="004E2903"/>
    <w:rsid w:val="0055151D"/>
    <w:rsid w:val="00584407"/>
    <w:rsid w:val="0058451F"/>
    <w:rsid w:val="00590111"/>
    <w:rsid w:val="005A1A6D"/>
    <w:rsid w:val="005A42E0"/>
    <w:rsid w:val="005A6EE3"/>
    <w:rsid w:val="005C1257"/>
    <w:rsid w:val="005F5E27"/>
    <w:rsid w:val="0065427D"/>
    <w:rsid w:val="006543A2"/>
    <w:rsid w:val="0065735F"/>
    <w:rsid w:val="00687C8C"/>
    <w:rsid w:val="0069232E"/>
    <w:rsid w:val="00696A7D"/>
    <w:rsid w:val="006A40DB"/>
    <w:rsid w:val="006C54C7"/>
    <w:rsid w:val="006D11E7"/>
    <w:rsid w:val="007005BF"/>
    <w:rsid w:val="0073346B"/>
    <w:rsid w:val="0073413E"/>
    <w:rsid w:val="007342E6"/>
    <w:rsid w:val="00744271"/>
    <w:rsid w:val="007B5836"/>
    <w:rsid w:val="007E4A3F"/>
    <w:rsid w:val="007E7DFA"/>
    <w:rsid w:val="007F563F"/>
    <w:rsid w:val="00812EC7"/>
    <w:rsid w:val="00842BCC"/>
    <w:rsid w:val="00875993"/>
    <w:rsid w:val="00884F81"/>
    <w:rsid w:val="008A2533"/>
    <w:rsid w:val="008A73FD"/>
    <w:rsid w:val="008B2CE4"/>
    <w:rsid w:val="008D721C"/>
    <w:rsid w:val="008E7383"/>
    <w:rsid w:val="008F3A34"/>
    <w:rsid w:val="00902ED4"/>
    <w:rsid w:val="00903869"/>
    <w:rsid w:val="00904FDD"/>
    <w:rsid w:val="00907C57"/>
    <w:rsid w:val="0091299F"/>
    <w:rsid w:val="00922E5E"/>
    <w:rsid w:val="00982DE4"/>
    <w:rsid w:val="00984B34"/>
    <w:rsid w:val="009A4AEC"/>
    <w:rsid w:val="009A518E"/>
    <w:rsid w:val="009B0644"/>
    <w:rsid w:val="009C14CF"/>
    <w:rsid w:val="009C5F01"/>
    <w:rsid w:val="009D2281"/>
    <w:rsid w:val="00A15C6F"/>
    <w:rsid w:val="00A27B2C"/>
    <w:rsid w:val="00A5528F"/>
    <w:rsid w:val="00A62500"/>
    <w:rsid w:val="00A671BA"/>
    <w:rsid w:val="00A70A1C"/>
    <w:rsid w:val="00A86641"/>
    <w:rsid w:val="00A925AE"/>
    <w:rsid w:val="00AB102F"/>
    <w:rsid w:val="00AB7E96"/>
    <w:rsid w:val="00AC2F8E"/>
    <w:rsid w:val="00AD30EB"/>
    <w:rsid w:val="00AD6B15"/>
    <w:rsid w:val="00B02FA4"/>
    <w:rsid w:val="00B11B05"/>
    <w:rsid w:val="00B169FA"/>
    <w:rsid w:val="00B21D62"/>
    <w:rsid w:val="00B263D8"/>
    <w:rsid w:val="00B37C8F"/>
    <w:rsid w:val="00B60F43"/>
    <w:rsid w:val="00B9403E"/>
    <w:rsid w:val="00B97365"/>
    <w:rsid w:val="00BB114A"/>
    <w:rsid w:val="00BB22AB"/>
    <w:rsid w:val="00BB3D4E"/>
    <w:rsid w:val="00BB46AF"/>
    <w:rsid w:val="00BE03D7"/>
    <w:rsid w:val="00BE5E31"/>
    <w:rsid w:val="00BF6B82"/>
    <w:rsid w:val="00C03867"/>
    <w:rsid w:val="00C108DC"/>
    <w:rsid w:val="00C238ED"/>
    <w:rsid w:val="00C332B5"/>
    <w:rsid w:val="00C67A77"/>
    <w:rsid w:val="00C75809"/>
    <w:rsid w:val="00C92A35"/>
    <w:rsid w:val="00C95C68"/>
    <w:rsid w:val="00D07560"/>
    <w:rsid w:val="00D07568"/>
    <w:rsid w:val="00D30EC6"/>
    <w:rsid w:val="00D34F07"/>
    <w:rsid w:val="00D94B54"/>
    <w:rsid w:val="00D94CA0"/>
    <w:rsid w:val="00DB16C9"/>
    <w:rsid w:val="00DB6A5E"/>
    <w:rsid w:val="00DC1E69"/>
    <w:rsid w:val="00DD75B0"/>
    <w:rsid w:val="00DE167B"/>
    <w:rsid w:val="00E03D5F"/>
    <w:rsid w:val="00E10F16"/>
    <w:rsid w:val="00E202A7"/>
    <w:rsid w:val="00E259DB"/>
    <w:rsid w:val="00E36E19"/>
    <w:rsid w:val="00E37214"/>
    <w:rsid w:val="00E37DCF"/>
    <w:rsid w:val="00E46B86"/>
    <w:rsid w:val="00E6226E"/>
    <w:rsid w:val="00E978C2"/>
    <w:rsid w:val="00ED4D6C"/>
    <w:rsid w:val="00EE245D"/>
    <w:rsid w:val="00EF73BB"/>
    <w:rsid w:val="00EF7D11"/>
    <w:rsid w:val="00F020B8"/>
    <w:rsid w:val="00F11DAF"/>
    <w:rsid w:val="00F4746E"/>
    <w:rsid w:val="00F87317"/>
    <w:rsid w:val="00FA3BCF"/>
    <w:rsid w:val="00FA4A92"/>
    <w:rsid w:val="00FB03C5"/>
    <w:rsid w:val="00FB0BA5"/>
    <w:rsid w:val="00FB569A"/>
    <w:rsid w:val="00FC666E"/>
    <w:rsid w:val="00FE12C8"/>
    <w:rsid w:val="00FE2D96"/>
    <w:rsid w:val="00FE2E55"/>
    <w:rsid w:val="00FE7263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A11A"/>
  <w15:docId w15:val="{09D37267-05F6-412B-AE0A-7EBAF7F5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69C7"/>
  </w:style>
  <w:style w:type="paragraph" w:styleId="Balk1">
    <w:name w:val="heading 1"/>
    <w:basedOn w:val="Normal"/>
    <w:next w:val="Normal"/>
    <w:rsid w:val="001069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069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069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069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1069C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1069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1069C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06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1069C7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rsid w:val="001069C7"/>
    <w:pPr>
      <w:spacing w:after="0" w:line="240" w:lineRule="auto"/>
    </w:pPr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unhideWhenUsed/>
    <w:rsid w:val="001069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069C7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1069C7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83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78C2"/>
  </w:style>
  <w:style w:type="paragraph" w:styleId="AltBilgi">
    <w:name w:val="footer"/>
    <w:basedOn w:val="Normal"/>
    <w:link w:val="AltBilgiChar"/>
    <w:uiPriority w:val="99"/>
    <w:unhideWhenUsed/>
    <w:rsid w:val="00E9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78C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978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978C2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978C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159F8"/>
    <w:rPr>
      <w:color w:val="800080" w:themeColor="followedHyperlink"/>
      <w:u w:val="single"/>
    </w:rPr>
  </w:style>
  <w:style w:type="paragraph" w:customStyle="1" w:styleId="Normal1">
    <w:name w:val="Normal1"/>
    <w:rsid w:val="004D0FA4"/>
  </w:style>
  <w:style w:type="paragraph" w:styleId="ListeParagraf">
    <w:name w:val="List Paragraph"/>
    <w:basedOn w:val="Normal"/>
    <w:uiPriority w:val="34"/>
    <w:qFormat/>
    <w:rsid w:val="00B60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Dzeltme">
    <w:name w:val="Revision"/>
    <w:hidden/>
    <w:uiPriority w:val="99"/>
    <w:semiHidden/>
    <w:rsid w:val="00FF03DC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9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klarenerjiyapiholding.com.tr/" TargetMode="External"/><Relationship Id="rId13" Type="http://schemas.openxmlformats.org/officeDocument/2006/relationships/hyperlink" Target="http://isiklarenerjiyapiholding.com.tr/dosyalar/bilgi-formu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iklarenerjiyapiholding.com.t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iklarenerjiyapiholding.com.t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siklarenerjiyapiholding.com.tr/iletisim-3-2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isiklarenerjiyapiholding.com.tr/" TargetMode="External"/><Relationship Id="rId14" Type="http://schemas.openxmlformats.org/officeDocument/2006/relationships/hyperlink" Target="mailto:kvkk@isiklerenerjiyapiholding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C5B0-600E-4BC3-84EF-8DE582EC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SRP-Legal</dc:creator>
  <cp:lastModifiedBy>Yakup Cevik</cp:lastModifiedBy>
  <cp:revision>6</cp:revision>
  <cp:lastPrinted>2019-07-25T09:47:00Z</cp:lastPrinted>
  <dcterms:created xsi:type="dcterms:W3CDTF">2020-07-21T13:28:00Z</dcterms:created>
  <dcterms:modified xsi:type="dcterms:W3CDTF">2020-07-22T08:44:00Z</dcterms:modified>
</cp:coreProperties>
</file>